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2D51B173" w:rsidR="00162B72" w:rsidRPr="0033574E" w:rsidRDefault="006379C9" w:rsidP="006379C9">
                                      <w:r>
                                        <w:t>28-419</w:t>
                                      </w:r>
                                      <w:r w:rsidR="0033574E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t xml:space="preserve">SS 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85CADE7" w14:textId="61D8B11D" w:rsidR="00162B72" w:rsidRPr="006379C9" w:rsidRDefault="006379C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4 აპრილი</w:t>
                                      </w:r>
                                    </w:p>
                                    <w:p w14:paraId="5273460A" w14:textId="0EEF4C3D" w:rsidR="002A559F" w:rsidRPr="006379C9" w:rsidRDefault="006379C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11 აპრილი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886669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5943C2A6" w:rsidR="00162B72" w:rsidRPr="006379C9" w:rsidRDefault="006379C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სადუნიშვილი</w:t>
                                      </w:r>
                                    </w:p>
                                    <w:p w14:paraId="4BE9D3FC" w14:textId="270609E5" w:rsidR="00162B72" w:rsidRPr="006379C9" w:rsidRDefault="006379C9" w:rsidP="009E06FA">
                                      <w:r>
                                        <w:t>ssadunishvili@bog.ge</w:t>
                                      </w:r>
                                    </w:p>
                                    <w:p w14:paraId="2D516649" w14:textId="432D977B" w:rsidR="00162B72" w:rsidRPr="00C457C5" w:rsidRDefault="00162B72" w:rsidP="006379C9">
                                      <w:r>
                                        <w:t>+995 5</w:t>
                                      </w:r>
                                      <w:r w:rsidR="006379C9">
                                        <w:t>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2D51B173" w:rsidR="00162B72" w:rsidRPr="0033574E" w:rsidRDefault="006379C9" w:rsidP="006379C9">
                                <w:r>
                                  <w:t>28-419</w:t>
                                </w:r>
                                <w:r w:rsidR="0033574E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t xml:space="preserve">SS 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85CADE7" w14:textId="61D8B11D" w:rsidR="00162B72" w:rsidRPr="006379C9" w:rsidRDefault="006379C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4 აპრილი</w:t>
                                </w:r>
                              </w:p>
                              <w:p w14:paraId="5273460A" w14:textId="0EEF4C3D" w:rsidR="002A559F" w:rsidRPr="006379C9" w:rsidRDefault="006379C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11 აპრილი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886669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5943C2A6" w:rsidR="00162B72" w:rsidRPr="006379C9" w:rsidRDefault="006379C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სადუნიშვილი</w:t>
                                </w:r>
                              </w:p>
                              <w:p w14:paraId="4BE9D3FC" w14:textId="270609E5" w:rsidR="00162B72" w:rsidRPr="006379C9" w:rsidRDefault="006379C9" w:rsidP="009E06FA">
                                <w:r>
                                  <w:t>ssadunishvili@bog.ge</w:t>
                                </w:r>
                              </w:p>
                              <w:p w14:paraId="2D516649" w14:textId="432D977B" w:rsidR="00162B72" w:rsidRPr="00C457C5" w:rsidRDefault="00162B72" w:rsidP="006379C9">
                                <w:r>
                                  <w:t>+995 5</w:t>
                                </w:r>
                                <w:r w:rsidR="006379C9">
                                  <w:t>99 68 67 82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963C873" w:rsidR="00162B72" w:rsidRPr="006379C9" w:rsidRDefault="006379C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იატაკქვეშა გათბობის მოწყობის სამუშაოები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0963C873" w:rsidR="00162B72" w:rsidRPr="006379C9" w:rsidRDefault="006379C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იატაკქვეშა გათბობის მოწყობის სამუშაოები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C25E91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60DFB256" w:rsidR="00DF2E46" w:rsidRPr="00DF2E46" w:rsidRDefault="005C285E" w:rsidP="00165336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სარემონტო სამუშაოების </w:t>
      </w:r>
      <w:r w:rsidR="0022546A">
        <w:rPr>
          <w:rFonts w:eastAsiaTheme="minorEastAsia"/>
          <w:color w:val="FF671B"/>
          <w:sz w:val="32"/>
          <w:szCs w:val="50"/>
          <w:lang w:val="ka-GE"/>
        </w:rPr>
        <w:t>შესრულების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 xml:space="preserve"> ტენდერი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8B915D8" w14:textId="77777777" w:rsidR="002A559F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28074" w:history="1">
            <w:r w:rsidR="002A559F" w:rsidRPr="000E31B4">
              <w:rPr>
                <w:rStyle w:val="Hyperlink"/>
                <w:noProof/>
              </w:rPr>
              <w:t>ზოგადი ინფორმაცია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_Toc535828074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0F87BDBD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75" w:history="1">
            <w:r w:rsidR="002A559F" w:rsidRPr="000E31B4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_Toc535828075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6586ACF6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76" w:history="1">
            <w:r w:rsidR="002A559F" w:rsidRPr="000E31B4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_Toc535828076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7AA64722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77" w:history="1">
            <w:r w:rsidR="002A559F" w:rsidRPr="000E31B4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_Toc535828077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5803E786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78" w:history="1">
            <w:r w:rsidR="002A559F" w:rsidRPr="000E31B4">
              <w:rPr>
                <w:rStyle w:val="Hyperlink"/>
                <w:noProof/>
              </w:rPr>
              <w:t>ანგარიშსწორების პირობა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_Toc535828078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28D5E968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79" w:history="1">
            <w:r w:rsidR="002A559F" w:rsidRPr="000E31B4">
              <w:rPr>
                <w:rStyle w:val="Hyperlink"/>
                <w:noProof/>
              </w:rPr>
              <w:t>სატენდერო მოთხოვნები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_Toc535828079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2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3167F993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0" w:history="1">
            <w:r w:rsidR="002A559F" w:rsidRPr="000E31B4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_Toc535828080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3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7CDE381E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1" w:history="1">
            <w:r w:rsidR="002A559F" w:rsidRPr="000E31B4">
              <w:rPr>
                <w:rStyle w:val="Hyperlink"/>
                <w:noProof/>
                <w:shd w:val="clear" w:color="auto" w:fill="FFFFFF"/>
              </w:rPr>
              <w:t>სამუშაო</w:t>
            </w:r>
            <w:r w:rsidR="002A559F" w:rsidRPr="000E31B4">
              <w:rPr>
                <w:rStyle w:val="Hyperlink"/>
                <w:rFonts w:ascii="Verdana" w:hAnsi="Verdana"/>
                <w:noProof/>
                <w:shd w:val="clear" w:color="auto" w:fill="FFFFFF"/>
              </w:rPr>
              <w:t xml:space="preserve"> </w:t>
            </w:r>
            <w:r w:rsidR="002A559F" w:rsidRPr="000E31B4">
              <w:rPr>
                <w:rStyle w:val="Hyperlink"/>
                <w:noProof/>
                <w:shd w:val="clear" w:color="auto" w:fill="FFFFFF"/>
              </w:rPr>
              <w:t>ადგილის</w:t>
            </w:r>
            <w:r w:rsidR="002A559F" w:rsidRPr="000E31B4">
              <w:rPr>
                <w:rStyle w:val="Hyperlink"/>
                <w:rFonts w:ascii="Verdana" w:hAnsi="Verdana"/>
                <w:noProof/>
                <w:shd w:val="clear" w:color="auto" w:fill="FFFFFF"/>
              </w:rPr>
              <w:t xml:space="preserve"> </w:t>
            </w:r>
            <w:r w:rsidR="002A559F" w:rsidRPr="000E31B4">
              <w:rPr>
                <w:rStyle w:val="Hyperlink"/>
                <w:noProof/>
                <w:shd w:val="clear" w:color="auto" w:fill="FFFFFF"/>
              </w:rPr>
              <w:t>მომზადება</w:t>
            </w:r>
            <w:r w:rsidR="002A559F" w:rsidRPr="000E31B4">
              <w:rPr>
                <w:rStyle w:val="Hyperlink"/>
                <w:rFonts w:ascii="Verdana" w:hAnsi="Verdana"/>
                <w:noProof/>
                <w:shd w:val="clear" w:color="auto" w:fill="FFFFFF"/>
              </w:rPr>
              <w:t xml:space="preserve">, </w:t>
            </w:r>
            <w:r w:rsidR="002A559F" w:rsidRPr="000E31B4">
              <w:rPr>
                <w:rStyle w:val="Hyperlink"/>
                <w:noProof/>
                <w:shd w:val="clear" w:color="auto" w:fill="FFFFFF"/>
              </w:rPr>
              <w:t>გარემოს</w:t>
            </w:r>
            <w:r w:rsidR="002A559F" w:rsidRPr="000E31B4">
              <w:rPr>
                <w:rStyle w:val="Hyperlink"/>
                <w:rFonts w:ascii="Verdana" w:hAnsi="Verdana"/>
                <w:noProof/>
                <w:shd w:val="clear" w:color="auto" w:fill="FFFFFF"/>
              </w:rPr>
              <w:t xml:space="preserve"> </w:t>
            </w:r>
            <w:r w:rsidR="002A559F" w:rsidRPr="000E31B4">
              <w:rPr>
                <w:rStyle w:val="Hyperlink"/>
                <w:noProof/>
                <w:shd w:val="clear" w:color="auto" w:fill="FFFFFF"/>
              </w:rPr>
              <w:t>დაცვა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_Toc535828081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4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741BCE2E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2" w:history="1">
            <w:r w:rsidR="002A559F" w:rsidRPr="000E31B4">
              <w:rPr>
                <w:rStyle w:val="Hyperlink"/>
                <w:noProof/>
              </w:rPr>
              <w:t>შრომის დაცვა და უსაფრთხოების ტექნიკა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_Toc535828082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5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69C1C181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3" w:history="1">
            <w:r w:rsidR="002A559F" w:rsidRPr="000E31B4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_Toc535828083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6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49296960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4" w:history="1">
            <w:r w:rsidR="002A559F" w:rsidRPr="000E31B4">
              <w:rPr>
                <w:rStyle w:val="Hyperlink"/>
                <w:noProof/>
              </w:rPr>
              <w:t>1.</w:t>
            </w:r>
            <w:r w:rsidR="002A55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A559F" w:rsidRPr="000E31B4">
              <w:rPr>
                <w:rStyle w:val="Hyperlink"/>
                <w:noProof/>
              </w:rPr>
              <w:t>დანართი 1: ფასების ცხრილი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_Toc535828084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6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54BC56D9" w14:textId="77777777" w:rsidR="002A559F" w:rsidRDefault="00C45B8C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5828085" w:history="1">
            <w:r w:rsidR="002A559F" w:rsidRPr="000E31B4">
              <w:rPr>
                <w:rStyle w:val="Hyperlink"/>
                <w:noProof/>
              </w:rPr>
              <w:t>2.</w:t>
            </w:r>
            <w:r w:rsidR="002A55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A559F" w:rsidRPr="000E31B4">
              <w:rPr>
                <w:rStyle w:val="Hyperlink"/>
                <w:noProof/>
              </w:rPr>
              <w:t>დანართი 2: საბანკო რეკვიზიტები</w:t>
            </w:r>
            <w:r w:rsidR="002A559F">
              <w:rPr>
                <w:noProof/>
                <w:webHidden/>
              </w:rPr>
              <w:tab/>
            </w:r>
            <w:r w:rsidR="002A559F">
              <w:rPr>
                <w:noProof/>
                <w:webHidden/>
              </w:rPr>
              <w:fldChar w:fldCharType="begin"/>
            </w:r>
            <w:r w:rsidR="002A559F">
              <w:rPr>
                <w:noProof/>
                <w:webHidden/>
              </w:rPr>
              <w:instrText xml:space="preserve"> PAGEREF _Toc535828085 \h </w:instrText>
            </w:r>
            <w:r w:rsidR="002A559F">
              <w:rPr>
                <w:noProof/>
                <w:webHidden/>
              </w:rPr>
            </w:r>
            <w:r w:rsidR="002A559F">
              <w:rPr>
                <w:noProof/>
                <w:webHidden/>
              </w:rPr>
              <w:fldChar w:fldCharType="separate"/>
            </w:r>
            <w:r w:rsidR="002A559F">
              <w:rPr>
                <w:noProof/>
                <w:webHidden/>
              </w:rPr>
              <w:t>7</w:t>
            </w:r>
            <w:r w:rsidR="002A559F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5828074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6FFEB4C1" w:rsidR="000D19A9" w:rsidRPr="006379C9" w:rsidRDefault="000D19A9" w:rsidP="0038278C">
      <w:pPr>
        <w:rPr>
          <w:rFonts w:eastAsiaTheme="minorEastAsia"/>
          <w:lang w:val="ka-GE"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6379C9">
        <w:rPr>
          <w:rFonts w:eastAsiaTheme="minorEastAsia"/>
          <w:lang w:val="ka-GE" w:eastAsia="ja-JP"/>
        </w:rPr>
        <w:t>იატაკქვეშა გათბობის მოწყობის სამუშაოებზე.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5828075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5330CA22" w14:textId="77777777" w:rsidR="007B2909" w:rsidRDefault="007B2909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5828076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DA4459B" w14:textId="56E72967" w:rsidR="0082350A" w:rsidRDefault="0082350A" w:rsidP="0082350A">
      <w:pPr>
        <w:rPr>
          <w:lang w:val="ka-GE"/>
        </w:rPr>
      </w:pPr>
      <w:r>
        <w:rPr>
          <w:lang w:val="ka-GE"/>
        </w:rPr>
        <w:t>ტენდერი ცხად</w:t>
      </w:r>
      <w:r w:rsidR="003F3671">
        <w:rPr>
          <w:lang w:val="ka-GE"/>
        </w:rPr>
        <w:t>დ</w:t>
      </w:r>
      <w:r>
        <w:rPr>
          <w:lang w:val="ka-GE"/>
        </w:rPr>
        <w:t>ება გამარჯვებულთან გენერალური ხელშეკრულების გაფორმების მიზნით, რომლის მიხედვითაც განისაზღვრება  სამუშაოების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 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3DFE1761" w:rsidR="0082350A" w:rsidRDefault="0082350A" w:rsidP="0082350A">
      <w:pPr>
        <w:rPr>
          <w:lang w:val="ka-GE"/>
        </w:rPr>
      </w:pPr>
      <w:r>
        <w:rPr>
          <w:lang w:val="ka-GE"/>
        </w:rPr>
        <w:t xml:space="preserve">  </w:t>
      </w: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193E36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5828078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7D2C3645" w14:textId="77777777" w:rsidR="006379C9" w:rsidRDefault="006379C9" w:rsidP="0038278C">
      <w:pPr>
        <w:rPr>
          <w:lang w:val="ka-GE"/>
        </w:rPr>
      </w:pPr>
    </w:p>
    <w:p w14:paraId="242AFDD0" w14:textId="2057DB13" w:rsidR="006379C9" w:rsidRPr="007E5751" w:rsidRDefault="006379C9" w:rsidP="0038278C">
      <w:pPr>
        <w:rPr>
          <w:lang w:val="ka-GE"/>
        </w:rPr>
      </w:pPr>
      <w:r>
        <w:rPr>
          <w:lang w:val="ka-GE"/>
        </w:rPr>
        <w:t>ანგარიშსწორების პირობების შეთანხმება მოხდება ბანკსა და გამარჯვებულ კომპანიას შორის.</w:t>
      </w:r>
    </w:p>
    <w:p w14:paraId="03D0040A" w14:textId="77777777" w:rsidR="007E5751" w:rsidRDefault="007E5751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5828079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7AFEC3C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722F7D45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სასაქონლო ნიშანი და</w:t>
      </w:r>
      <w:r w:rsidR="002B090B">
        <w:rPr>
          <w:rFonts w:eastAsiaTheme="minorEastAsia"/>
          <w:lang w:val="ka-GE" w:eastAsia="ja-JP"/>
        </w:rPr>
        <w:t xml:space="preserve"> </w:t>
      </w:r>
      <w:r w:rsidRPr="003A756C">
        <w:rPr>
          <w:rFonts w:eastAsiaTheme="minorEastAsia"/>
          <w:lang w:val="ka-GE" w:eastAsia="ja-JP"/>
        </w:rPr>
        <w:t>/</w:t>
      </w:r>
      <w:r w:rsidR="002B090B">
        <w:rPr>
          <w:rFonts w:eastAsiaTheme="minorEastAsia"/>
          <w:lang w:val="ka-GE" w:eastAsia="ja-JP"/>
        </w:rPr>
        <w:t xml:space="preserve"> </w:t>
      </w:r>
      <w:r w:rsidRPr="003A756C">
        <w:rPr>
          <w:rFonts w:eastAsiaTheme="minorEastAsia"/>
          <w:lang w:val="ka-GE" w:eastAsia="ja-JP"/>
        </w:rPr>
        <w:t>ან მარკა</w:t>
      </w:r>
      <w:r w:rsidR="002B090B">
        <w:rPr>
          <w:rFonts w:eastAsiaTheme="minorEastAsia"/>
          <w:lang w:val="ka-GE" w:eastAsia="ja-JP"/>
        </w:rPr>
        <w:t xml:space="preserve"> </w:t>
      </w:r>
      <w:r w:rsidRPr="003A756C">
        <w:rPr>
          <w:rFonts w:eastAsiaTheme="minorEastAsia"/>
          <w:lang w:val="ka-GE" w:eastAsia="ja-JP"/>
        </w:rPr>
        <w:t>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5F705274" w14:textId="27E2E44A" w:rsidR="002B090B" w:rsidRDefault="002B090B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მონაწილეს უნდა ჰქონდეს შესაძლებლობა მოთხოვნისამებრ წარმოადგინოს </w:t>
      </w:r>
      <w:r w:rsidRPr="002B090B">
        <w:rPr>
          <w:rFonts w:eastAsiaTheme="minorEastAsia"/>
          <w:lang w:val="ka-GE" w:eastAsia="ja-JP"/>
        </w:rPr>
        <w:t>აღნიშნული მასალების სტანდარტებისადმი</w:t>
      </w:r>
      <w:r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lang w:val="ka-GE" w:eastAsia="ja-JP"/>
        </w:rPr>
        <w:t>შესაბამისობის დამადასტურებელი დოკუმენტების (სერთიფიკატი, დეკლარაცია) ასლები.</w:t>
      </w:r>
    </w:p>
    <w:p w14:paraId="07FDC7E1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2DE9C50D" w14:textId="5181D31C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>ძირითადი მასალები სრულად უნდა აკმაყოფილებდნენ საპროექტო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8A771A2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3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7025D94" w14:textId="77777777" w:rsidR="00397FCA" w:rsidRPr="00397FCA" w:rsidRDefault="00397FCA" w:rsidP="00A33116">
      <w:pPr>
        <w:pStyle w:val="ListParagraph"/>
        <w:rPr>
          <w:lang w:val="ka-GE"/>
        </w:rPr>
      </w:pPr>
    </w:p>
    <w:p w14:paraId="2E028929" w14:textId="465CBEE1" w:rsidR="00397FCA" w:rsidRPr="002F3827" w:rsidRDefault="00124A03" w:rsidP="00A33116">
      <w:pPr>
        <w:pStyle w:val="ListParagraph"/>
        <w:rPr>
          <w:lang w:val="ka-GE"/>
        </w:rPr>
      </w:pPr>
      <w:r>
        <w:rPr>
          <w:lang w:val="ka-GE"/>
        </w:rPr>
        <w:t>მონაწილეებმა უნდა წარმოადგინონ მასალის შესაბამისი ნიმუშები.</w:t>
      </w: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8" w:name="_Toc535828083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8"/>
    </w:p>
    <w:p w14:paraId="06B2F0FE" w14:textId="5F1BD493" w:rsidR="00DF6F0D" w:rsidRDefault="00E3757A" w:rsidP="00E3757A">
      <w:pPr>
        <w:pStyle w:val="a"/>
      </w:pPr>
      <w:bookmarkStart w:id="9" w:name="_Toc535828084"/>
      <w:r>
        <w:t>დანართი 1: ფასების ცხრილი</w:t>
      </w:r>
      <w:bookmarkEnd w:id="9"/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2080"/>
        <w:gridCol w:w="2433"/>
        <w:gridCol w:w="1379"/>
        <w:gridCol w:w="1188"/>
      </w:tblGrid>
      <w:tr w:rsidR="00C45B8C" w:rsidRPr="00C45B8C" w14:paraId="63E286D0" w14:textId="77777777" w:rsidTr="00C45B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3E511C" w14:textId="77777777" w:rsidR="00C45B8C" w:rsidRPr="00C45B8C" w:rsidRDefault="00C45B8C" w:rsidP="00C45B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8C">
              <w:rPr>
                <w:rFonts w:eastAsia="Times New Roman" w:cs="Sylfaen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BA63A7" w14:textId="77777777" w:rsidR="00C45B8C" w:rsidRPr="00C45B8C" w:rsidRDefault="00C45B8C" w:rsidP="00C45B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8C">
              <w:rPr>
                <w:rFonts w:eastAsia="Times New Roman" w:cs="Sylfaen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F8DFE9E" w14:textId="77777777" w:rsidR="00C45B8C" w:rsidRPr="00C45B8C" w:rsidRDefault="00C45B8C" w:rsidP="00C45B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8C">
              <w:rPr>
                <w:rFonts w:eastAsia="Times New Roman" w:cs="Sylfaen"/>
                <w:color w:val="000000"/>
                <w:sz w:val="22"/>
                <w:szCs w:val="22"/>
              </w:rPr>
              <w:t>რაოდენობა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56DE478" w14:textId="77777777" w:rsidR="00C45B8C" w:rsidRPr="00C45B8C" w:rsidRDefault="00C45B8C" w:rsidP="00C45B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8C">
              <w:rPr>
                <w:rFonts w:eastAsia="Times New Roman" w:cs="Sylfaen"/>
                <w:color w:val="000000"/>
                <w:sz w:val="22"/>
                <w:szCs w:val="22"/>
              </w:rPr>
              <w:t>ერთ</w:t>
            </w:r>
            <w:r w:rsidRPr="00C45B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 w:rsidRPr="00C45B8C">
              <w:rPr>
                <w:rFonts w:eastAsia="Times New Roman" w:cs="Sylfaen"/>
                <w:color w:val="000000"/>
                <w:sz w:val="22"/>
                <w:szCs w:val="22"/>
              </w:rPr>
              <w:t>ფასი</w:t>
            </w:r>
            <w:proofErr w:type="spellEnd"/>
          </w:p>
        </w:tc>
      </w:tr>
      <w:tr w:rsidR="00C45B8C" w:rsidRPr="00C45B8C" w14:paraId="7A8595FD" w14:textId="77777777" w:rsidTr="00C45B8C">
        <w:trPr>
          <w:trHeight w:val="915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D4C0" w14:textId="77777777" w:rsidR="00C45B8C" w:rsidRPr="00C45B8C" w:rsidRDefault="00C45B8C" w:rsidP="00C45B8C">
            <w:pPr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იატაკის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ელექტრო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გათბობა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6E8B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ინფრაწითელი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ერთეული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ფასი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უნდა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მოიცავდეს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სამონტაჟო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სამუშაოებსაც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8517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r w:rsidRPr="00C45B8C">
              <w:rPr>
                <w:rFonts w:eastAsia="Times New Roman" w:cs="Times New Roman"/>
                <w:color w:val="000000"/>
              </w:rPr>
              <w:t>მ</w:t>
            </w:r>
            <w:r w:rsidRPr="00C45B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ED8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45B8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B8C" w:rsidRPr="00C45B8C" w14:paraId="213F3F9F" w14:textId="77777777" w:rsidTr="00C45B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FCB9" w14:textId="77777777" w:rsidR="00C45B8C" w:rsidRPr="00C45B8C" w:rsidRDefault="00C45B8C" w:rsidP="00C45B8C">
            <w:pPr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მართვის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პულტი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21E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r w:rsidRPr="00C45B8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2494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ცალი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DFF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45B8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B8C" w:rsidRPr="00C45B8C" w14:paraId="4EC73147" w14:textId="77777777" w:rsidTr="00C45B8C">
        <w:trPr>
          <w:trHeight w:val="615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8464" w14:textId="77777777" w:rsidR="00C45B8C" w:rsidRPr="00C45B8C" w:rsidRDefault="00C45B8C" w:rsidP="00C45B8C">
            <w:pPr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თბილისის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გარეთ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B8C">
              <w:rPr>
                <w:rFonts w:eastAsia="Times New Roman" w:cs="Times New Roman"/>
                <w:color w:val="000000"/>
              </w:rPr>
              <w:t>ტრანპორტირება</w:t>
            </w:r>
            <w:proofErr w:type="spellEnd"/>
            <w:r w:rsidRPr="00C45B8C">
              <w:rPr>
                <w:rFonts w:eastAsia="Times New Roman" w:cs="Times New Roman"/>
                <w:color w:val="000000"/>
              </w:rPr>
              <w:t xml:space="preserve"> -1კმ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AAB3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r w:rsidRPr="00C45B8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5B9D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45B8C">
              <w:rPr>
                <w:rFonts w:eastAsia="Times New Roman" w:cs="Times New Roman"/>
                <w:color w:val="000000"/>
              </w:rPr>
              <w:t>ცალი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D8F" w14:textId="77777777" w:rsidR="00C45B8C" w:rsidRPr="00C45B8C" w:rsidRDefault="00C45B8C" w:rsidP="00C45B8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45B8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1070DAB" w14:textId="5BAACF9A" w:rsidR="0016141B" w:rsidRDefault="00E3757A" w:rsidP="009042D2">
      <w:pPr>
        <w:pStyle w:val="a"/>
        <w:jc w:val="left"/>
      </w:pPr>
      <w:bookmarkStart w:id="10" w:name="_GoBack"/>
      <w:bookmarkEnd w:id="10"/>
      <w:r w:rsidRPr="0016141B">
        <w:br w:type="page"/>
      </w:r>
      <w:bookmarkStart w:id="11" w:name="_Toc535828085"/>
      <w:r w:rsidR="0016141B">
        <w:lastRenderedPageBreak/>
        <w:t>დანართი 2: საბანკო რეკვიზიტები</w:t>
      </w:r>
      <w:bookmarkEnd w:id="11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621F3E83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F3AB" w14:textId="77777777" w:rsidR="0045357D" w:rsidRDefault="0045357D" w:rsidP="002E7950">
      <w:r>
        <w:separator/>
      </w:r>
    </w:p>
  </w:endnote>
  <w:endnote w:type="continuationSeparator" w:id="0">
    <w:p w14:paraId="11E1E969" w14:textId="77777777" w:rsidR="0045357D" w:rsidRDefault="0045357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45B8C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45B8C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7E525" w14:textId="77777777" w:rsidR="0045357D" w:rsidRDefault="0045357D" w:rsidP="002E7950">
      <w:r>
        <w:separator/>
      </w:r>
    </w:p>
  </w:footnote>
  <w:footnote w:type="continuationSeparator" w:id="0">
    <w:p w14:paraId="6B1A3D01" w14:textId="77777777" w:rsidR="0045357D" w:rsidRDefault="0045357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A03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67595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3E36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35FD"/>
    <w:rsid w:val="002A3C27"/>
    <w:rsid w:val="002A4486"/>
    <w:rsid w:val="002A497C"/>
    <w:rsid w:val="002A4CDE"/>
    <w:rsid w:val="002A559F"/>
    <w:rsid w:val="002A5D9F"/>
    <w:rsid w:val="002A68B1"/>
    <w:rsid w:val="002A7836"/>
    <w:rsid w:val="002A7BA8"/>
    <w:rsid w:val="002B090B"/>
    <w:rsid w:val="002B152E"/>
    <w:rsid w:val="002B1E33"/>
    <w:rsid w:val="002B3A06"/>
    <w:rsid w:val="002B3FF4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1F3C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74E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0D3C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367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19A9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379C9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64A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2909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8B8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68E3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542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5B8C"/>
    <w:rsid w:val="00C463D2"/>
    <w:rsid w:val="00C46668"/>
    <w:rsid w:val="00C47D7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1467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2196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0D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D3A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5C06"/>
    <w:rsid w:val="00EB62F0"/>
    <w:rsid w:val="00EB692C"/>
    <w:rsid w:val="00EC1368"/>
    <w:rsid w:val="00EC160A"/>
    <w:rsid w:val="00EC5C7B"/>
    <w:rsid w:val="00EC673F"/>
    <w:rsid w:val="00ED0783"/>
    <w:rsid w:val="00ED0856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C69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4A140-F93F-45A6-B370-1FB7B6D5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45</cp:revision>
  <cp:lastPrinted>2019-01-17T10:32:00Z</cp:lastPrinted>
  <dcterms:created xsi:type="dcterms:W3CDTF">2018-12-26T16:22:00Z</dcterms:created>
  <dcterms:modified xsi:type="dcterms:W3CDTF">2019-04-03T14:57:00Z</dcterms:modified>
</cp:coreProperties>
</file>